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605" w:rsidRPr="00210EC0" w:rsidRDefault="00A266AA">
      <w:pPr>
        <w:spacing w:line="480" w:lineRule="auto"/>
        <w:contextualSpacing w:val="0"/>
        <w:rPr>
          <w:rFonts w:ascii="Times New Roman" w:eastAsia="Verdana" w:hAnsi="Times New Roman" w:cs="Times New Roman"/>
          <w:sz w:val="24"/>
          <w:szCs w:val="24"/>
        </w:rPr>
      </w:pPr>
      <w:r w:rsidRPr="00210EC0">
        <w:rPr>
          <w:rFonts w:ascii="Times New Roman" w:eastAsia="Verdana" w:hAnsi="Times New Roman" w:cs="Times New Roman"/>
          <w:sz w:val="24"/>
          <w:szCs w:val="24"/>
        </w:rPr>
        <w:t>Megan Amato</w:t>
      </w:r>
    </w:p>
    <w:p w:rsidR="00D00605" w:rsidRPr="00210EC0" w:rsidRDefault="00A266AA">
      <w:pPr>
        <w:spacing w:line="480" w:lineRule="auto"/>
        <w:contextualSpacing w:val="0"/>
        <w:rPr>
          <w:rFonts w:ascii="Times New Roman" w:eastAsia="Verdana" w:hAnsi="Times New Roman" w:cs="Times New Roman"/>
          <w:sz w:val="24"/>
          <w:szCs w:val="24"/>
        </w:rPr>
      </w:pPr>
      <w:r w:rsidRPr="00210EC0">
        <w:rPr>
          <w:rFonts w:ascii="Times New Roman" w:eastAsia="Verdana" w:hAnsi="Times New Roman" w:cs="Times New Roman"/>
          <w:sz w:val="24"/>
          <w:szCs w:val="24"/>
        </w:rPr>
        <w:t>LBST 330</w:t>
      </w:r>
    </w:p>
    <w:p w:rsidR="00D00605" w:rsidRPr="00210EC0" w:rsidRDefault="00A266AA">
      <w:pPr>
        <w:spacing w:line="480" w:lineRule="auto"/>
        <w:contextualSpacing w:val="0"/>
        <w:rPr>
          <w:rFonts w:ascii="Times New Roman" w:eastAsia="Verdana" w:hAnsi="Times New Roman" w:cs="Times New Roman"/>
          <w:sz w:val="24"/>
          <w:szCs w:val="24"/>
        </w:rPr>
      </w:pPr>
      <w:r w:rsidRPr="00210EC0">
        <w:rPr>
          <w:rFonts w:ascii="Times New Roman" w:eastAsia="Verdana" w:hAnsi="Times New Roman" w:cs="Times New Roman"/>
          <w:sz w:val="24"/>
          <w:szCs w:val="24"/>
        </w:rPr>
        <w:t xml:space="preserve">Sean Ashley and </w:t>
      </w:r>
      <w:proofErr w:type="spellStart"/>
      <w:r w:rsidRPr="00210EC0">
        <w:rPr>
          <w:rFonts w:ascii="Times New Roman" w:eastAsia="Verdana" w:hAnsi="Times New Roman" w:cs="Times New Roman"/>
          <w:sz w:val="24"/>
          <w:szCs w:val="24"/>
        </w:rPr>
        <w:t>Josema</w:t>
      </w:r>
      <w:proofErr w:type="spellEnd"/>
      <w:r w:rsidRPr="00210EC0">
        <w:rPr>
          <w:rFonts w:ascii="Times New Roman" w:eastAsia="Verdana" w:hAnsi="Times New Roman" w:cs="Times New Roman"/>
          <w:sz w:val="24"/>
          <w:szCs w:val="24"/>
        </w:rPr>
        <w:t xml:space="preserve"> </w:t>
      </w:r>
      <w:proofErr w:type="spellStart"/>
      <w:r w:rsidRPr="00210EC0">
        <w:rPr>
          <w:rFonts w:ascii="Times New Roman" w:eastAsia="Verdana" w:hAnsi="Times New Roman" w:cs="Times New Roman"/>
          <w:sz w:val="24"/>
          <w:szCs w:val="24"/>
        </w:rPr>
        <w:t>Zamorano</w:t>
      </w:r>
      <w:proofErr w:type="spellEnd"/>
    </w:p>
    <w:p w:rsidR="00D00605" w:rsidRPr="00210EC0" w:rsidRDefault="00A266AA">
      <w:pPr>
        <w:spacing w:line="480" w:lineRule="auto"/>
        <w:contextualSpacing w:val="0"/>
        <w:rPr>
          <w:rFonts w:ascii="Times New Roman" w:eastAsia="Verdana" w:hAnsi="Times New Roman" w:cs="Times New Roman"/>
          <w:sz w:val="24"/>
          <w:szCs w:val="24"/>
        </w:rPr>
      </w:pPr>
      <w:r w:rsidRPr="00210EC0">
        <w:rPr>
          <w:rFonts w:ascii="Times New Roman" w:eastAsia="Verdana" w:hAnsi="Times New Roman" w:cs="Times New Roman"/>
          <w:sz w:val="24"/>
          <w:szCs w:val="24"/>
        </w:rPr>
        <w:t>15 October 2018</w:t>
      </w:r>
    </w:p>
    <w:p w:rsidR="00D00605" w:rsidRPr="00210EC0" w:rsidRDefault="00A266AA">
      <w:pPr>
        <w:spacing w:line="480" w:lineRule="auto"/>
        <w:contextualSpacing w:val="0"/>
        <w:jc w:val="center"/>
        <w:rPr>
          <w:rFonts w:ascii="Times New Roman" w:eastAsia="Verdana" w:hAnsi="Times New Roman" w:cs="Times New Roman"/>
          <w:sz w:val="24"/>
          <w:szCs w:val="24"/>
        </w:rPr>
      </w:pPr>
      <w:r w:rsidRPr="00210EC0">
        <w:rPr>
          <w:rFonts w:ascii="Times New Roman" w:eastAsia="Verdana" w:hAnsi="Times New Roman" w:cs="Times New Roman"/>
          <w:sz w:val="24"/>
          <w:szCs w:val="24"/>
        </w:rPr>
        <w:t>Reflection II</w:t>
      </w:r>
    </w:p>
    <w:p w:rsidR="00D00605" w:rsidRPr="00210EC0" w:rsidRDefault="00A266AA">
      <w:pPr>
        <w:spacing w:line="480" w:lineRule="auto"/>
        <w:ind w:firstLine="720"/>
        <w:contextualSpacing w:val="0"/>
        <w:rPr>
          <w:rFonts w:ascii="Times New Roman" w:eastAsia="Verdana" w:hAnsi="Times New Roman" w:cs="Times New Roman"/>
          <w:color w:val="333333"/>
          <w:sz w:val="24"/>
          <w:szCs w:val="24"/>
          <w:highlight w:val="white"/>
        </w:rPr>
      </w:pPr>
      <w:r w:rsidRPr="00210EC0">
        <w:rPr>
          <w:rFonts w:ascii="Times New Roman" w:hAnsi="Times New Roman" w:cs="Times New Roman"/>
          <w:sz w:val="24"/>
          <w:szCs w:val="24"/>
        </w:rPr>
        <w:t xml:space="preserve"> </w:t>
      </w:r>
      <w:proofErr w:type="spellStart"/>
      <w:r w:rsidRPr="00210EC0">
        <w:rPr>
          <w:rFonts w:ascii="Times New Roman" w:eastAsia="Verdana" w:hAnsi="Times New Roman" w:cs="Times New Roman"/>
          <w:color w:val="333333"/>
          <w:sz w:val="24"/>
          <w:szCs w:val="24"/>
          <w:highlight w:val="white"/>
        </w:rPr>
        <w:t>Vilhauer’s</w:t>
      </w:r>
      <w:proofErr w:type="spellEnd"/>
      <w:r w:rsidRPr="00210EC0">
        <w:rPr>
          <w:rFonts w:ascii="Times New Roman" w:eastAsia="Verdana" w:hAnsi="Times New Roman" w:cs="Times New Roman"/>
          <w:color w:val="333333"/>
          <w:sz w:val="24"/>
          <w:szCs w:val="24"/>
          <w:highlight w:val="white"/>
        </w:rPr>
        <w:t xml:space="preserve"> essay </w:t>
      </w:r>
      <w:r w:rsidRPr="00210EC0">
        <w:rPr>
          <w:rFonts w:ascii="Times New Roman" w:eastAsia="Verdana" w:hAnsi="Times New Roman" w:cs="Times New Roman"/>
          <w:color w:val="333333"/>
          <w:sz w:val="24"/>
          <w:szCs w:val="24"/>
          <w:highlight w:val="white"/>
        </w:rPr>
        <w:t xml:space="preserve">"Gadamer and the Game of Understanding" and </w:t>
      </w:r>
      <w:proofErr w:type="spellStart"/>
      <w:r w:rsidRPr="00210EC0">
        <w:rPr>
          <w:rFonts w:ascii="Times New Roman" w:eastAsia="Verdana" w:hAnsi="Times New Roman" w:cs="Times New Roman"/>
          <w:color w:val="333333"/>
          <w:sz w:val="24"/>
          <w:szCs w:val="24"/>
          <w:highlight w:val="white"/>
        </w:rPr>
        <w:t>Ruspoli’s</w:t>
      </w:r>
      <w:proofErr w:type="spellEnd"/>
      <w:r w:rsidRPr="00210EC0">
        <w:rPr>
          <w:rFonts w:ascii="Times New Roman" w:eastAsia="Verdana" w:hAnsi="Times New Roman" w:cs="Times New Roman"/>
          <w:color w:val="333333"/>
          <w:sz w:val="24"/>
          <w:szCs w:val="24"/>
          <w:highlight w:val="white"/>
        </w:rPr>
        <w:t xml:space="preserve"> documentary film “Being in the World” both elaborate on a similar theme using different analogies. That theme is that to truly understand and connect with any given thing, you need to look outside of yo</w:t>
      </w:r>
      <w:r w:rsidRPr="00210EC0">
        <w:rPr>
          <w:rFonts w:ascii="Times New Roman" w:eastAsia="Verdana" w:hAnsi="Times New Roman" w:cs="Times New Roman"/>
          <w:color w:val="333333"/>
          <w:sz w:val="24"/>
          <w:szCs w:val="24"/>
          <w:highlight w:val="white"/>
        </w:rPr>
        <w:t xml:space="preserve">urself. Both texts expand on the idea that a connection is needed, either between a given object, idea or person to truly </w:t>
      </w:r>
      <w:r w:rsidR="00210EC0" w:rsidRPr="00210EC0">
        <w:rPr>
          <w:rFonts w:ascii="Times New Roman" w:eastAsia="Verdana" w:hAnsi="Times New Roman" w:cs="Times New Roman"/>
          <w:color w:val="333333"/>
          <w:sz w:val="24"/>
          <w:szCs w:val="24"/>
          <w:highlight w:val="white"/>
        </w:rPr>
        <w:t>experience and</w:t>
      </w:r>
      <w:r w:rsidRPr="00210EC0">
        <w:rPr>
          <w:rFonts w:ascii="Times New Roman" w:eastAsia="Verdana" w:hAnsi="Times New Roman" w:cs="Times New Roman"/>
          <w:color w:val="333333"/>
          <w:sz w:val="24"/>
          <w:szCs w:val="24"/>
          <w:highlight w:val="white"/>
        </w:rPr>
        <w:t xml:space="preserve"> understand it. In </w:t>
      </w:r>
      <w:proofErr w:type="spellStart"/>
      <w:r w:rsidRPr="00210EC0">
        <w:rPr>
          <w:rFonts w:ascii="Times New Roman" w:eastAsia="Verdana" w:hAnsi="Times New Roman" w:cs="Times New Roman"/>
          <w:color w:val="333333"/>
          <w:sz w:val="24"/>
          <w:szCs w:val="24"/>
          <w:highlight w:val="white"/>
        </w:rPr>
        <w:t>Ruspoli’s</w:t>
      </w:r>
      <w:proofErr w:type="spellEnd"/>
      <w:r w:rsidRPr="00210EC0">
        <w:rPr>
          <w:rFonts w:ascii="Times New Roman" w:eastAsia="Verdana" w:hAnsi="Times New Roman" w:cs="Times New Roman"/>
          <w:color w:val="333333"/>
          <w:sz w:val="24"/>
          <w:szCs w:val="24"/>
          <w:highlight w:val="white"/>
        </w:rPr>
        <w:t xml:space="preserve"> film they use mastery or the art of mastering something. Different philosophy professors c</w:t>
      </w:r>
      <w:r w:rsidRPr="00210EC0">
        <w:rPr>
          <w:rFonts w:ascii="Times New Roman" w:eastAsia="Verdana" w:hAnsi="Times New Roman" w:cs="Times New Roman"/>
          <w:color w:val="333333"/>
          <w:sz w:val="24"/>
          <w:szCs w:val="24"/>
          <w:highlight w:val="white"/>
        </w:rPr>
        <w:t xml:space="preserve">onclude that to become a master (of cooking or carpentry or of jazz) you need the practice, experience and to risk yourself </w:t>
      </w:r>
      <w:proofErr w:type="gramStart"/>
      <w:r w:rsidRPr="00210EC0">
        <w:rPr>
          <w:rFonts w:ascii="Times New Roman" w:eastAsia="Verdana" w:hAnsi="Times New Roman" w:cs="Times New Roman"/>
          <w:color w:val="333333"/>
          <w:sz w:val="24"/>
          <w:szCs w:val="24"/>
          <w:highlight w:val="white"/>
        </w:rPr>
        <w:t>in order to</w:t>
      </w:r>
      <w:proofErr w:type="gramEnd"/>
      <w:r w:rsidRPr="00210EC0">
        <w:rPr>
          <w:rFonts w:ascii="Times New Roman" w:eastAsia="Verdana" w:hAnsi="Times New Roman" w:cs="Times New Roman"/>
          <w:color w:val="333333"/>
          <w:sz w:val="24"/>
          <w:szCs w:val="24"/>
          <w:highlight w:val="white"/>
        </w:rPr>
        <w:t xml:space="preserve"> open yourself up to possibilities inside those worlds. </w:t>
      </w:r>
      <w:proofErr w:type="spellStart"/>
      <w:r w:rsidRPr="00210EC0">
        <w:rPr>
          <w:rFonts w:ascii="Times New Roman" w:eastAsia="Verdana" w:hAnsi="Times New Roman" w:cs="Times New Roman"/>
          <w:color w:val="333333"/>
          <w:sz w:val="24"/>
          <w:szCs w:val="24"/>
          <w:highlight w:val="white"/>
        </w:rPr>
        <w:t>Vilhauer’s</w:t>
      </w:r>
      <w:proofErr w:type="spellEnd"/>
      <w:r w:rsidRPr="00210EC0">
        <w:rPr>
          <w:rFonts w:ascii="Times New Roman" w:eastAsia="Verdana" w:hAnsi="Times New Roman" w:cs="Times New Roman"/>
          <w:color w:val="333333"/>
          <w:sz w:val="24"/>
          <w:szCs w:val="24"/>
          <w:highlight w:val="white"/>
        </w:rPr>
        <w:t xml:space="preserve"> essay digs into the theory of the “philosophy of Play”</w:t>
      </w:r>
      <w:r w:rsidRPr="00210EC0">
        <w:rPr>
          <w:rFonts w:ascii="Times New Roman" w:eastAsia="Verdana" w:hAnsi="Times New Roman" w:cs="Times New Roman"/>
          <w:color w:val="333333"/>
          <w:sz w:val="24"/>
          <w:szCs w:val="24"/>
          <w:highlight w:val="white"/>
        </w:rPr>
        <w:t xml:space="preserve"> or the art of communicating with human beings that we see as</w:t>
      </w:r>
      <w:r w:rsidR="00210EC0">
        <w:rPr>
          <w:rFonts w:ascii="Times New Roman" w:eastAsia="Verdana" w:hAnsi="Times New Roman" w:cs="Times New Roman"/>
          <w:color w:val="333333"/>
          <w:sz w:val="24"/>
          <w:szCs w:val="24"/>
          <w:highlight w:val="white"/>
        </w:rPr>
        <w:t xml:space="preserve"> </w:t>
      </w:r>
      <w:r w:rsidRPr="00210EC0">
        <w:rPr>
          <w:rFonts w:ascii="Times New Roman" w:eastAsia="Verdana" w:hAnsi="Times New Roman" w:cs="Times New Roman"/>
          <w:color w:val="333333"/>
          <w:sz w:val="24"/>
          <w:szCs w:val="24"/>
          <w:highlight w:val="white"/>
        </w:rPr>
        <w:t xml:space="preserve">“other” through what is termed dialogue-play. In this </w:t>
      </w:r>
      <w:proofErr w:type="spellStart"/>
      <w:r w:rsidRPr="00210EC0">
        <w:rPr>
          <w:rFonts w:ascii="Times New Roman" w:eastAsia="Verdana" w:hAnsi="Times New Roman" w:cs="Times New Roman"/>
          <w:color w:val="333333"/>
          <w:sz w:val="24"/>
          <w:szCs w:val="24"/>
          <w:highlight w:val="white"/>
        </w:rPr>
        <w:t>Vilhauer</w:t>
      </w:r>
      <w:proofErr w:type="spellEnd"/>
      <w:r w:rsidRPr="00210EC0">
        <w:rPr>
          <w:rFonts w:ascii="Times New Roman" w:eastAsia="Verdana" w:hAnsi="Times New Roman" w:cs="Times New Roman"/>
          <w:color w:val="333333"/>
          <w:sz w:val="24"/>
          <w:szCs w:val="24"/>
          <w:highlight w:val="white"/>
        </w:rPr>
        <w:t xml:space="preserve"> critically analyzes Gadamer’s theory that to breach the socio-cultural distance between human beings they need to be active in liste</w:t>
      </w:r>
      <w:r w:rsidRPr="00210EC0">
        <w:rPr>
          <w:rFonts w:ascii="Times New Roman" w:eastAsia="Verdana" w:hAnsi="Times New Roman" w:cs="Times New Roman"/>
          <w:color w:val="333333"/>
          <w:sz w:val="24"/>
          <w:szCs w:val="24"/>
          <w:highlight w:val="white"/>
        </w:rPr>
        <w:t xml:space="preserve">ning, and active in willing to open their minds to new realities. This can be applied to art and text as to understand the reality the artist or writer was trying to present, we need to be open to what they are trying to say. </w:t>
      </w:r>
    </w:p>
    <w:p w:rsidR="00D00605" w:rsidRPr="00210EC0" w:rsidRDefault="00A266AA">
      <w:pPr>
        <w:spacing w:line="480" w:lineRule="auto"/>
        <w:ind w:firstLine="720"/>
        <w:contextualSpacing w:val="0"/>
        <w:rPr>
          <w:rFonts w:ascii="Times New Roman" w:eastAsia="Verdana" w:hAnsi="Times New Roman" w:cs="Times New Roman"/>
          <w:color w:val="333333"/>
          <w:sz w:val="24"/>
          <w:szCs w:val="24"/>
          <w:highlight w:val="white"/>
        </w:rPr>
      </w:pPr>
      <w:r w:rsidRPr="00210EC0">
        <w:rPr>
          <w:rFonts w:ascii="Times New Roman" w:eastAsia="Verdana" w:hAnsi="Times New Roman" w:cs="Times New Roman"/>
          <w:color w:val="333333"/>
          <w:sz w:val="24"/>
          <w:szCs w:val="24"/>
          <w:highlight w:val="white"/>
        </w:rPr>
        <w:t xml:space="preserve"> </w:t>
      </w:r>
      <w:proofErr w:type="spellStart"/>
      <w:r w:rsidRPr="00210EC0">
        <w:rPr>
          <w:rFonts w:ascii="Times New Roman" w:eastAsia="Verdana" w:hAnsi="Times New Roman" w:cs="Times New Roman"/>
          <w:color w:val="333333"/>
          <w:sz w:val="24"/>
          <w:szCs w:val="24"/>
          <w:highlight w:val="white"/>
        </w:rPr>
        <w:t>Vilhauer’s</w:t>
      </w:r>
      <w:proofErr w:type="spellEnd"/>
      <w:r w:rsidRPr="00210EC0">
        <w:rPr>
          <w:rFonts w:ascii="Times New Roman" w:eastAsia="Verdana" w:hAnsi="Times New Roman" w:cs="Times New Roman"/>
          <w:color w:val="333333"/>
          <w:sz w:val="24"/>
          <w:szCs w:val="24"/>
          <w:highlight w:val="white"/>
        </w:rPr>
        <w:t xml:space="preserve"> essay and </w:t>
      </w:r>
      <w:proofErr w:type="spellStart"/>
      <w:r w:rsidRPr="00210EC0">
        <w:rPr>
          <w:rFonts w:ascii="Times New Roman" w:eastAsia="Verdana" w:hAnsi="Times New Roman" w:cs="Times New Roman"/>
          <w:color w:val="333333"/>
          <w:sz w:val="24"/>
          <w:szCs w:val="24"/>
          <w:highlight w:val="white"/>
        </w:rPr>
        <w:t>Ruspoli</w:t>
      </w:r>
      <w:r w:rsidRPr="00210EC0">
        <w:rPr>
          <w:rFonts w:ascii="Times New Roman" w:eastAsia="Verdana" w:hAnsi="Times New Roman" w:cs="Times New Roman"/>
          <w:color w:val="333333"/>
          <w:sz w:val="24"/>
          <w:szCs w:val="24"/>
          <w:highlight w:val="white"/>
        </w:rPr>
        <w:t>’s</w:t>
      </w:r>
      <w:proofErr w:type="spellEnd"/>
      <w:r w:rsidRPr="00210EC0">
        <w:rPr>
          <w:rFonts w:ascii="Times New Roman" w:eastAsia="Verdana" w:hAnsi="Times New Roman" w:cs="Times New Roman"/>
          <w:color w:val="333333"/>
          <w:sz w:val="24"/>
          <w:szCs w:val="24"/>
          <w:highlight w:val="white"/>
        </w:rPr>
        <w:t xml:space="preserve"> film connect because the ability to understand and validate the differences between human beings, and to build connections we need to master the art of active listening and to become a master we need to make connections outside ourselves so that we can </w:t>
      </w:r>
      <w:r w:rsidRPr="00210EC0">
        <w:rPr>
          <w:rFonts w:ascii="Times New Roman" w:eastAsia="Verdana" w:hAnsi="Times New Roman" w:cs="Times New Roman"/>
          <w:color w:val="333333"/>
          <w:sz w:val="24"/>
          <w:szCs w:val="24"/>
          <w:highlight w:val="white"/>
        </w:rPr>
        <w:t xml:space="preserve">build on the interconnectedness of what we are trying to master.  Both essay and film </w:t>
      </w:r>
      <w:r w:rsidRPr="00210EC0">
        <w:rPr>
          <w:rFonts w:ascii="Times New Roman" w:eastAsia="Verdana" w:hAnsi="Times New Roman" w:cs="Times New Roman"/>
          <w:color w:val="333333"/>
          <w:sz w:val="24"/>
          <w:szCs w:val="24"/>
          <w:highlight w:val="white"/>
        </w:rPr>
        <w:lastRenderedPageBreak/>
        <w:t xml:space="preserve">stress the necessity of taking risks by embracing </w:t>
      </w:r>
      <w:proofErr w:type="gramStart"/>
      <w:r w:rsidRPr="00210EC0">
        <w:rPr>
          <w:rFonts w:ascii="Times New Roman" w:eastAsia="Verdana" w:hAnsi="Times New Roman" w:cs="Times New Roman"/>
          <w:color w:val="333333"/>
          <w:sz w:val="24"/>
          <w:szCs w:val="24"/>
          <w:highlight w:val="white"/>
        </w:rPr>
        <w:t>new ideas</w:t>
      </w:r>
      <w:proofErr w:type="gramEnd"/>
      <w:r w:rsidRPr="00210EC0">
        <w:rPr>
          <w:rFonts w:ascii="Times New Roman" w:eastAsia="Verdana" w:hAnsi="Times New Roman" w:cs="Times New Roman"/>
          <w:color w:val="333333"/>
          <w:sz w:val="24"/>
          <w:szCs w:val="24"/>
          <w:highlight w:val="white"/>
        </w:rPr>
        <w:t xml:space="preserve"> different then what is generally accepted; either by us individually or by society. The essay makes the point </w:t>
      </w:r>
      <w:r w:rsidRPr="00210EC0">
        <w:rPr>
          <w:rFonts w:ascii="Times New Roman" w:eastAsia="Verdana" w:hAnsi="Times New Roman" w:cs="Times New Roman"/>
          <w:color w:val="333333"/>
          <w:sz w:val="24"/>
          <w:szCs w:val="24"/>
          <w:highlight w:val="white"/>
        </w:rPr>
        <w:t xml:space="preserve">that </w:t>
      </w:r>
      <w:proofErr w:type="gramStart"/>
      <w:r w:rsidRPr="00210EC0">
        <w:rPr>
          <w:rFonts w:ascii="Times New Roman" w:eastAsia="Verdana" w:hAnsi="Times New Roman" w:cs="Times New Roman"/>
          <w:color w:val="333333"/>
          <w:sz w:val="24"/>
          <w:szCs w:val="24"/>
          <w:highlight w:val="white"/>
        </w:rPr>
        <w:t>in order for</w:t>
      </w:r>
      <w:proofErr w:type="gramEnd"/>
      <w:r w:rsidRPr="00210EC0">
        <w:rPr>
          <w:rFonts w:ascii="Times New Roman" w:eastAsia="Verdana" w:hAnsi="Times New Roman" w:cs="Times New Roman"/>
          <w:color w:val="333333"/>
          <w:sz w:val="24"/>
          <w:szCs w:val="24"/>
          <w:highlight w:val="white"/>
        </w:rPr>
        <w:t xml:space="preserve"> us to truly understand each other we need to be willing to risk opening our minds to thoughts, processes, ideas and traditions that vary from our own s</w:t>
      </w:r>
      <w:r w:rsidR="00210EC0">
        <w:rPr>
          <w:rFonts w:ascii="Times New Roman" w:eastAsia="Verdana" w:hAnsi="Times New Roman" w:cs="Times New Roman"/>
          <w:color w:val="333333"/>
          <w:sz w:val="24"/>
          <w:szCs w:val="24"/>
          <w:highlight w:val="white"/>
        </w:rPr>
        <w:t>et of rules or cultural knowing</w:t>
      </w:r>
      <w:r w:rsidRPr="00210EC0">
        <w:rPr>
          <w:rFonts w:ascii="Times New Roman" w:eastAsia="Verdana" w:hAnsi="Times New Roman" w:cs="Times New Roman"/>
          <w:color w:val="333333"/>
          <w:sz w:val="24"/>
          <w:szCs w:val="24"/>
          <w:highlight w:val="white"/>
        </w:rPr>
        <w:t>. The film elaborates this by stating that we cannot ma</w:t>
      </w:r>
      <w:r w:rsidRPr="00210EC0">
        <w:rPr>
          <w:rFonts w:ascii="Times New Roman" w:eastAsia="Verdana" w:hAnsi="Times New Roman" w:cs="Times New Roman"/>
          <w:color w:val="333333"/>
          <w:sz w:val="24"/>
          <w:szCs w:val="24"/>
          <w:highlight w:val="white"/>
        </w:rPr>
        <w:t>ster anything if we are completely uniform, if we follow ever</w:t>
      </w:r>
      <w:r w:rsidR="00210EC0">
        <w:rPr>
          <w:rFonts w:ascii="Times New Roman" w:eastAsia="Verdana" w:hAnsi="Times New Roman" w:cs="Times New Roman"/>
          <w:color w:val="333333"/>
          <w:sz w:val="24"/>
          <w:szCs w:val="24"/>
          <w:highlight w:val="white"/>
        </w:rPr>
        <w:t>y rule. We need to be able to</w:t>
      </w:r>
      <w:r w:rsidRPr="00210EC0">
        <w:rPr>
          <w:rFonts w:ascii="Times New Roman" w:eastAsia="Verdana" w:hAnsi="Times New Roman" w:cs="Times New Roman"/>
          <w:color w:val="333333"/>
          <w:sz w:val="24"/>
          <w:szCs w:val="24"/>
          <w:highlight w:val="white"/>
        </w:rPr>
        <w:t xml:space="preserve"> take the risk to bend, break or transform these rules to discover new ways of doing. However, as we bend or break these rules, the film suggests that we need to s</w:t>
      </w:r>
      <w:r w:rsidRPr="00210EC0">
        <w:rPr>
          <w:rFonts w:ascii="Times New Roman" w:eastAsia="Verdana" w:hAnsi="Times New Roman" w:cs="Times New Roman"/>
          <w:color w:val="333333"/>
          <w:sz w:val="24"/>
          <w:szCs w:val="24"/>
          <w:highlight w:val="white"/>
        </w:rPr>
        <w:t xml:space="preserve">tay within the realms of traditional society as it is with the people within them that these new “worlds” or new rules you’ve created find meaning. </w:t>
      </w:r>
      <w:r w:rsidR="00210EC0" w:rsidRPr="00210EC0">
        <w:rPr>
          <w:rFonts w:ascii="Times New Roman" w:eastAsia="Verdana" w:hAnsi="Times New Roman" w:cs="Times New Roman"/>
          <w:color w:val="333333"/>
          <w:sz w:val="24"/>
          <w:szCs w:val="24"/>
          <w:highlight w:val="white"/>
        </w:rPr>
        <w:t>Both</w:t>
      </w:r>
      <w:r w:rsidRPr="00210EC0">
        <w:rPr>
          <w:rFonts w:ascii="Times New Roman" w:eastAsia="Verdana" w:hAnsi="Times New Roman" w:cs="Times New Roman"/>
          <w:color w:val="333333"/>
          <w:sz w:val="24"/>
          <w:szCs w:val="24"/>
          <w:highlight w:val="white"/>
        </w:rPr>
        <w:t xml:space="preserve"> texts highlight the importance of human experiences in building skills that lead us to bett</w:t>
      </w:r>
      <w:r w:rsidRPr="00210EC0">
        <w:rPr>
          <w:rFonts w:ascii="Times New Roman" w:eastAsia="Verdana" w:hAnsi="Times New Roman" w:cs="Times New Roman"/>
          <w:color w:val="333333"/>
          <w:sz w:val="24"/>
          <w:szCs w:val="24"/>
          <w:highlight w:val="white"/>
        </w:rPr>
        <w:t>er connect with our world.</w:t>
      </w:r>
    </w:p>
    <w:p w:rsidR="00D00605" w:rsidRPr="00210EC0" w:rsidRDefault="00D00605">
      <w:pPr>
        <w:spacing w:line="480" w:lineRule="auto"/>
        <w:ind w:firstLine="720"/>
        <w:contextualSpacing w:val="0"/>
        <w:rPr>
          <w:rFonts w:ascii="Times New Roman" w:eastAsia="Verdana" w:hAnsi="Times New Roman" w:cs="Times New Roman"/>
          <w:color w:val="333333"/>
          <w:sz w:val="24"/>
          <w:szCs w:val="24"/>
          <w:highlight w:val="white"/>
        </w:rPr>
      </w:pPr>
    </w:p>
    <w:p w:rsidR="00D00605" w:rsidRPr="00210EC0" w:rsidRDefault="00210EC0" w:rsidP="00210EC0">
      <w:pPr>
        <w:spacing w:line="480" w:lineRule="auto"/>
        <w:ind w:firstLine="720"/>
        <w:contextualSpacing w:val="0"/>
        <w:jc w:val="center"/>
        <w:rPr>
          <w:rFonts w:ascii="Times New Roman" w:eastAsia="Verdana" w:hAnsi="Times New Roman" w:cs="Times New Roman"/>
          <w:color w:val="333333"/>
          <w:sz w:val="24"/>
          <w:szCs w:val="24"/>
          <w:highlight w:val="white"/>
        </w:rPr>
      </w:pPr>
      <w:r>
        <w:rPr>
          <w:rFonts w:ascii="Times New Roman" w:eastAsia="Verdana" w:hAnsi="Times New Roman" w:cs="Times New Roman"/>
          <w:color w:val="333333"/>
          <w:sz w:val="24"/>
          <w:szCs w:val="24"/>
          <w:highlight w:val="white"/>
        </w:rPr>
        <w:t>Part 2</w:t>
      </w:r>
      <w:r w:rsidR="00A266AA" w:rsidRPr="00210EC0">
        <w:rPr>
          <w:rFonts w:ascii="Times New Roman" w:eastAsia="Verdana" w:hAnsi="Times New Roman" w:cs="Times New Roman"/>
          <w:color w:val="333333"/>
          <w:sz w:val="24"/>
          <w:szCs w:val="24"/>
          <w:highlight w:val="white"/>
        </w:rPr>
        <w:t>:</w:t>
      </w:r>
      <w:r>
        <w:rPr>
          <w:rFonts w:ascii="Times New Roman" w:eastAsia="Verdana" w:hAnsi="Times New Roman" w:cs="Times New Roman"/>
          <w:color w:val="333333"/>
          <w:sz w:val="24"/>
          <w:szCs w:val="24"/>
          <w:highlight w:val="white"/>
        </w:rPr>
        <w:t xml:space="preserve"> Ways of </w:t>
      </w:r>
      <w:proofErr w:type="spellStart"/>
      <w:r>
        <w:rPr>
          <w:rFonts w:ascii="Times New Roman" w:eastAsia="Verdana" w:hAnsi="Times New Roman" w:cs="Times New Roman"/>
          <w:color w:val="333333"/>
          <w:sz w:val="24"/>
          <w:szCs w:val="24"/>
          <w:highlight w:val="white"/>
        </w:rPr>
        <w:t>Reseraching</w:t>
      </w:r>
      <w:proofErr w:type="spellEnd"/>
    </w:p>
    <w:p w:rsidR="00D00605" w:rsidRPr="00210EC0" w:rsidRDefault="00A266AA">
      <w:pPr>
        <w:spacing w:line="480" w:lineRule="auto"/>
        <w:ind w:firstLine="720"/>
        <w:contextualSpacing w:val="0"/>
        <w:rPr>
          <w:rFonts w:ascii="Times New Roman" w:eastAsia="Verdana" w:hAnsi="Times New Roman" w:cs="Times New Roman"/>
          <w:color w:val="333333"/>
          <w:sz w:val="24"/>
          <w:szCs w:val="24"/>
          <w:highlight w:val="white"/>
        </w:rPr>
      </w:pPr>
      <w:r w:rsidRPr="00210EC0">
        <w:rPr>
          <w:rFonts w:ascii="Times New Roman" w:eastAsia="Verdana" w:hAnsi="Times New Roman" w:cs="Times New Roman"/>
          <w:color w:val="333333"/>
          <w:sz w:val="24"/>
          <w:szCs w:val="24"/>
          <w:highlight w:val="white"/>
        </w:rPr>
        <w:t xml:space="preserve">When thinking about ways of researching my project and the connection between the above texts, my mind immediately jumps to </w:t>
      </w:r>
      <w:proofErr w:type="spellStart"/>
      <w:r w:rsidRPr="00210EC0">
        <w:rPr>
          <w:rFonts w:ascii="Times New Roman" w:eastAsia="Verdana" w:hAnsi="Times New Roman" w:cs="Times New Roman"/>
          <w:color w:val="333333"/>
          <w:sz w:val="24"/>
          <w:szCs w:val="24"/>
          <w:highlight w:val="white"/>
        </w:rPr>
        <w:t>Vilhauer’s</w:t>
      </w:r>
      <w:proofErr w:type="spellEnd"/>
      <w:r w:rsidRPr="00210EC0">
        <w:rPr>
          <w:rFonts w:ascii="Times New Roman" w:eastAsia="Verdana" w:hAnsi="Times New Roman" w:cs="Times New Roman"/>
          <w:color w:val="333333"/>
          <w:sz w:val="24"/>
          <w:szCs w:val="24"/>
          <w:highlight w:val="white"/>
        </w:rPr>
        <w:t xml:space="preserve"> essay and the section regarding reading when doing textual historical research. In t</w:t>
      </w:r>
      <w:r w:rsidRPr="00210EC0">
        <w:rPr>
          <w:rFonts w:ascii="Times New Roman" w:eastAsia="Verdana" w:hAnsi="Times New Roman" w:cs="Times New Roman"/>
          <w:color w:val="333333"/>
          <w:sz w:val="24"/>
          <w:szCs w:val="24"/>
          <w:highlight w:val="white"/>
        </w:rPr>
        <w:t xml:space="preserve">he last reflection, the topic discussed how we see things based on our own preconceptions, and </w:t>
      </w:r>
      <w:proofErr w:type="spellStart"/>
      <w:r w:rsidRPr="00210EC0">
        <w:rPr>
          <w:rFonts w:ascii="Times New Roman" w:eastAsia="Verdana" w:hAnsi="Times New Roman" w:cs="Times New Roman"/>
          <w:color w:val="333333"/>
          <w:sz w:val="24"/>
          <w:szCs w:val="24"/>
          <w:highlight w:val="white"/>
        </w:rPr>
        <w:t>Vilhauer</w:t>
      </w:r>
      <w:r w:rsidR="00210EC0">
        <w:rPr>
          <w:rFonts w:ascii="Times New Roman" w:eastAsia="Verdana" w:hAnsi="Times New Roman" w:cs="Times New Roman"/>
          <w:color w:val="333333"/>
          <w:sz w:val="24"/>
          <w:szCs w:val="24"/>
          <w:highlight w:val="white"/>
        </w:rPr>
        <w:t>’</w:t>
      </w:r>
      <w:r w:rsidRPr="00210EC0">
        <w:rPr>
          <w:rFonts w:ascii="Times New Roman" w:eastAsia="Verdana" w:hAnsi="Times New Roman" w:cs="Times New Roman"/>
          <w:color w:val="333333"/>
          <w:sz w:val="24"/>
          <w:szCs w:val="24"/>
          <w:highlight w:val="white"/>
        </w:rPr>
        <w:t>s</w:t>
      </w:r>
      <w:proofErr w:type="spellEnd"/>
      <w:r w:rsidRPr="00210EC0">
        <w:rPr>
          <w:rFonts w:ascii="Times New Roman" w:eastAsia="Verdana" w:hAnsi="Times New Roman" w:cs="Times New Roman"/>
          <w:color w:val="333333"/>
          <w:sz w:val="24"/>
          <w:szCs w:val="24"/>
          <w:highlight w:val="white"/>
        </w:rPr>
        <w:t xml:space="preserve"> essay touches on that too by stating that “literary text finds its life in the event in which</w:t>
      </w:r>
      <w:r w:rsidRPr="00210EC0">
        <w:rPr>
          <w:rFonts w:ascii="Times New Roman" w:eastAsia="Verdana" w:hAnsi="Times New Roman" w:cs="Times New Roman"/>
          <w:color w:val="333333"/>
          <w:sz w:val="24"/>
          <w:szCs w:val="24"/>
          <w:highlight w:val="white"/>
        </w:rPr>
        <w:t xml:space="preserve"> its medium is grasped by an audience” (78) and sinc</w:t>
      </w:r>
      <w:r w:rsidRPr="00210EC0">
        <w:rPr>
          <w:rFonts w:ascii="Times New Roman" w:eastAsia="Verdana" w:hAnsi="Times New Roman" w:cs="Times New Roman"/>
          <w:color w:val="333333"/>
          <w:sz w:val="24"/>
          <w:szCs w:val="24"/>
          <w:highlight w:val="white"/>
        </w:rPr>
        <w:t>e that audience is the reader and the reader in this situation is me, my divined meaning of the texts may be different from the original audience’s meaning as I have different experiences and human interactions to account for. It will be important for me t</w:t>
      </w:r>
      <w:r w:rsidRPr="00210EC0">
        <w:rPr>
          <w:rFonts w:ascii="Times New Roman" w:eastAsia="Verdana" w:hAnsi="Times New Roman" w:cs="Times New Roman"/>
          <w:color w:val="333333"/>
          <w:sz w:val="24"/>
          <w:szCs w:val="24"/>
          <w:highlight w:val="white"/>
        </w:rPr>
        <w:t xml:space="preserve">o set my own realm of experience </w:t>
      </w:r>
      <w:r w:rsidR="00210EC0" w:rsidRPr="00210EC0">
        <w:rPr>
          <w:rFonts w:ascii="Times New Roman" w:eastAsia="Verdana" w:hAnsi="Times New Roman" w:cs="Times New Roman"/>
          <w:color w:val="333333"/>
          <w:sz w:val="24"/>
          <w:szCs w:val="24"/>
          <w:highlight w:val="white"/>
        </w:rPr>
        <w:t>aside,</w:t>
      </w:r>
      <w:r w:rsidRPr="00210EC0">
        <w:rPr>
          <w:rFonts w:ascii="Times New Roman" w:eastAsia="Verdana" w:hAnsi="Times New Roman" w:cs="Times New Roman"/>
          <w:color w:val="333333"/>
          <w:sz w:val="24"/>
          <w:szCs w:val="24"/>
          <w:highlight w:val="white"/>
        </w:rPr>
        <w:t xml:space="preserve"> so I can grasp who the audience might have been at the time and what meanings lie in the interaction between this text and the audience. The given text wouldn’t have been written with just the author in mind, but rath</w:t>
      </w:r>
      <w:r w:rsidRPr="00210EC0">
        <w:rPr>
          <w:rFonts w:ascii="Times New Roman" w:eastAsia="Verdana" w:hAnsi="Times New Roman" w:cs="Times New Roman"/>
          <w:color w:val="333333"/>
          <w:sz w:val="24"/>
          <w:szCs w:val="24"/>
          <w:highlight w:val="white"/>
        </w:rPr>
        <w:t xml:space="preserve">er how the author’s ideas would impact and interact with that historical audience. </w:t>
      </w:r>
    </w:p>
    <w:p w:rsidR="00D00605" w:rsidRPr="00210EC0" w:rsidRDefault="00A266AA">
      <w:pPr>
        <w:spacing w:line="480" w:lineRule="auto"/>
        <w:ind w:firstLine="720"/>
        <w:contextualSpacing w:val="0"/>
        <w:rPr>
          <w:rFonts w:ascii="Times New Roman" w:eastAsia="Verdana" w:hAnsi="Times New Roman" w:cs="Times New Roman"/>
          <w:color w:val="333333"/>
          <w:sz w:val="24"/>
          <w:szCs w:val="24"/>
          <w:highlight w:val="white"/>
        </w:rPr>
      </w:pPr>
      <w:r w:rsidRPr="00210EC0">
        <w:rPr>
          <w:rFonts w:ascii="Times New Roman" w:eastAsia="Verdana" w:hAnsi="Times New Roman" w:cs="Times New Roman"/>
          <w:color w:val="333333"/>
          <w:sz w:val="24"/>
          <w:szCs w:val="24"/>
          <w:highlight w:val="white"/>
        </w:rPr>
        <w:t>Despite my very first inclination to skip right to textual work, both the film and the essay stress the importance of interconnections between people and so to understand t</w:t>
      </w:r>
      <w:r w:rsidRPr="00210EC0">
        <w:rPr>
          <w:rFonts w:ascii="Times New Roman" w:eastAsia="Verdana" w:hAnsi="Times New Roman" w:cs="Times New Roman"/>
          <w:color w:val="333333"/>
          <w:sz w:val="24"/>
          <w:szCs w:val="24"/>
          <w:highlight w:val="white"/>
        </w:rPr>
        <w:t xml:space="preserve">he past, I need to understand the audience today and their connection to myths. </w:t>
      </w:r>
      <w:r w:rsidR="00210EC0" w:rsidRPr="00210EC0">
        <w:rPr>
          <w:rFonts w:ascii="Times New Roman" w:eastAsia="Verdana" w:hAnsi="Times New Roman" w:cs="Times New Roman"/>
          <w:color w:val="333333"/>
          <w:sz w:val="24"/>
          <w:szCs w:val="24"/>
          <w:highlight w:val="white"/>
        </w:rPr>
        <w:t>Therefore</w:t>
      </w:r>
      <w:r w:rsidRPr="00210EC0">
        <w:rPr>
          <w:rFonts w:ascii="Times New Roman" w:eastAsia="Verdana" w:hAnsi="Times New Roman" w:cs="Times New Roman"/>
          <w:color w:val="333333"/>
          <w:sz w:val="24"/>
          <w:szCs w:val="24"/>
          <w:highlight w:val="white"/>
        </w:rPr>
        <w:t xml:space="preserve">, some field research will have to be done going beyond merely observation and data collection to </w:t>
      </w:r>
      <w:proofErr w:type="gramStart"/>
      <w:r w:rsidRPr="00210EC0">
        <w:rPr>
          <w:rFonts w:ascii="Times New Roman" w:eastAsia="Verdana" w:hAnsi="Times New Roman" w:cs="Times New Roman"/>
          <w:color w:val="333333"/>
          <w:sz w:val="24"/>
          <w:szCs w:val="24"/>
          <w:highlight w:val="white"/>
        </w:rPr>
        <w:t>actually experiencing</w:t>
      </w:r>
      <w:proofErr w:type="gramEnd"/>
      <w:r w:rsidRPr="00210EC0">
        <w:rPr>
          <w:rFonts w:ascii="Times New Roman" w:eastAsia="Verdana" w:hAnsi="Times New Roman" w:cs="Times New Roman"/>
          <w:color w:val="333333"/>
          <w:sz w:val="24"/>
          <w:szCs w:val="24"/>
          <w:highlight w:val="white"/>
        </w:rPr>
        <w:t xml:space="preserve"> the connections of people in the context of the </w:t>
      </w:r>
      <w:r w:rsidRPr="00210EC0">
        <w:rPr>
          <w:rFonts w:ascii="Times New Roman" w:eastAsia="Verdana" w:hAnsi="Times New Roman" w:cs="Times New Roman"/>
          <w:color w:val="333333"/>
          <w:sz w:val="24"/>
          <w:szCs w:val="24"/>
          <w:highlight w:val="white"/>
        </w:rPr>
        <w:t xml:space="preserve">world I am researching. This could be done be showing myths to </w:t>
      </w:r>
      <w:r w:rsidR="00210EC0">
        <w:rPr>
          <w:rFonts w:ascii="Times New Roman" w:eastAsia="Verdana" w:hAnsi="Times New Roman" w:cs="Times New Roman"/>
          <w:color w:val="333333"/>
          <w:sz w:val="24"/>
          <w:szCs w:val="24"/>
          <w:highlight w:val="white"/>
        </w:rPr>
        <w:t>a determined number of</w:t>
      </w:r>
      <w:r w:rsidRPr="00210EC0">
        <w:rPr>
          <w:rFonts w:ascii="Times New Roman" w:eastAsia="Verdana" w:hAnsi="Times New Roman" w:cs="Times New Roman"/>
          <w:color w:val="333333"/>
          <w:sz w:val="24"/>
          <w:szCs w:val="24"/>
          <w:highlight w:val="white"/>
        </w:rPr>
        <w:t xml:space="preserve"> people in a community and recording their reactions and thoughts to it. </w:t>
      </w:r>
      <w:proofErr w:type="spellStart"/>
      <w:r w:rsidRPr="00210EC0">
        <w:rPr>
          <w:rFonts w:ascii="Times New Roman" w:eastAsia="Verdana" w:hAnsi="Times New Roman" w:cs="Times New Roman"/>
          <w:color w:val="333333"/>
          <w:sz w:val="24"/>
          <w:szCs w:val="24"/>
          <w:highlight w:val="white"/>
        </w:rPr>
        <w:t>Ruspoli’s</w:t>
      </w:r>
      <w:proofErr w:type="spellEnd"/>
      <w:r w:rsidRPr="00210EC0">
        <w:rPr>
          <w:rFonts w:ascii="Times New Roman" w:eastAsia="Verdana" w:hAnsi="Times New Roman" w:cs="Times New Roman"/>
          <w:color w:val="333333"/>
          <w:sz w:val="24"/>
          <w:szCs w:val="24"/>
          <w:highlight w:val="white"/>
        </w:rPr>
        <w:t xml:space="preserve"> film “Being in the World” mentions the importance of authenticity and to be authentic or respond au</w:t>
      </w:r>
      <w:r w:rsidRPr="00210EC0">
        <w:rPr>
          <w:rFonts w:ascii="Times New Roman" w:eastAsia="Verdana" w:hAnsi="Times New Roman" w:cs="Times New Roman"/>
          <w:color w:val="333333"/>
          <w:sz w:val="24"/>
          <w:szCs w:val="24"/>
          <w:highlight w:val="white"/>
        </w:rPr>
        <w:t>thentically we need respond in the moment to do what needs to be done. This means that when interviewing or discussing the issue of mythology in our present lives and in the past, I need be able to go off script and respond in kind to the answers that I am</w:t>
      </w:r>
      <w:r w:rsidRPr="00210EC0">
        <w:rPr>
          <w:rFonts w:ascii="Times New Roman" w:eastAsia="Verdana" w:hAnsi="Times New Roman" w:cs="Times New Roman"/>
          <w:color w:val="333333"/>
          <w:sz w:val="24"/>
          <w:szCs w:val="24"/>
          <w:highlight w:val="white"/>
        </w:rPr>
        <w:t xml:space="preserve"> being given, and as </w:t>
      </w:r>
      <w:proofErr w:type="spellStart"/>
      <w:r w:rsidRPr="00210EC0">
        <w:rPr>
          <w:rFonts w:ascii="Times New Roman" w:eastAsia="Verdana" w:hAnsi="Times New Roman" w:cs="Times New Roman"/>
          <w:color w:val="333333"/>
          <w:sz w:val="24"/>
          <w:szCs w:val="24"/>
          <w:highlight w:val="white"/>
        </w:rPr>
        <w:t>Vilhauer’s</w:t>
      </w:r>
      <w:proofErr w:type="spellEnd"/>
      <w:r w:rsidRPr="00210EC0">
        <w:rPr>
          <w:rFonts w:ascii="Times New Roman" w:eastAsia="Verdana" w:hAnsi="Times New Roman" w:cs="Times New Roman"/>
          <w:color w:val="333333"/>
          <w:sz w:val="24"/>
          <w:szCs w:val="24"/>
          <w:highlight w:val="white"/>
        </w:rPr>
        <w:t xml:space="preserve"> states in his essay I need to set aside my “prior understanding” and be willing to accept new ones.</w:t>
      </w:r>
    </w:p>
    <w:p w:rsidR="00D00605" w:rsidRPr="00210EC0" w:rsidRDefault="00D00605">
      <w:pPr>
        <w:spacing w:line="480" w:lineRule="auto"/>
        <w:ind w:firstLine="720"/>
        <w:contextualSpacing w:val="0"/>
        <w:rPr>
          <w:rFonts w:ascii="Times New Roman" w:eastAsia="Verdana" w:hAnsi="Times New Roman" w:cs="Times New Roman"/>
          <w:color w:val="333333"/>
          <w:sz w:val="24"/>
          <w:szCs w:val="24"/>
          <w:highlight w:val="white"/>
        </w:rPr>
      </w:pPr>
    </w:p>
    <w:p w:rsidR="00D00605" w:rsidRDefault="00D00605">
      <w:pPr>
        <w:spacing w:line="480" w:lineRule="auto"/>
        <w:ind w:firstLine="720"/>
        <w:contextualSpacing w:val="0"/>
        <w:rPr>
          <w:rFonts w:ascii="Times New Roman" w:eastAsia="Verdana" w:hAnsi="Times New Roman" w:cs="Times New Roman"/>
          <w:color w:val="333333"/>
          <w:sz w:val="24"/>
          <w:szCs w:val="24"/>
          <w:highlight w:val="white"/>
        </w:rPr>
      </w:pPr>
    </w:p>
    <w:p w:rsidR="00210EC0" w:rsidRDefault="00210EC0">
      <w:pPr>
        <w:spacing w:line="480" w:lineRule="auto"/>
        <w:ind w:firstLine="720"/>
        <w:contextualSpacing w:val="0"/>
        <w:rPr>
          <w:rFonts w:ascii="Times New Roman" w:eastAsia="Verdana" w:hAnsi="Times New Roman" w:cs="Times New Roman"/>
          <w:color w:val="333333"/>
          <w:sz w:val="24"/>
          <w:szCs w:val="24"/>
          <w:highlight w:val="white"/>
        </w:rPr>
      </w:pPr>
    </w:p>
    <w:p w:rsidR="00210EC0" w:rsidRDefault="00210EC0">
      <w:pPr>
        <w:spacing w:line="480" w:lineRule="auto"/>
        <w:ind w:firstLine="720"/>
        <w:contextualSpacing w:val="0"/>
        <w:rPr>
          <w:rFonts w:ascii="Times New Roman" w:eastAsia="Verdana" w:hAnsi="Times New Roman" w:cs="Times New Roman"/>
          <w:color w:val="333333"/>
          <w:sz w:val="24"/>
          <w:szCs w:val="24"/>
          <w:highlight w:val="white"/>
        </w:rPr>
      </w:pPr>
    </w:p>
    <w:p w:rsidR="00210EC0" w:rsidRDefault="00210EC0">
      <w:pPr>
        <w:spacing w:line="480" w:lineRule="auto"/>
        <w:ind w:firstLine="720"/>
        <w:contextualSpacing w:val="0"/>
        <w:rPr>
          <w:rFonts w:ascii="Times New Roman" w:eastAsia="Verdana" w:hAnsi="Times New Roman" w:cs="Times New Roman"/>
          <w:color w:val="333333"/>
          <w:sz w:val="24"/>
          <w:szCs w:val="24"/>
          <w:highlight w:val="white"/>
        </w:rPr>
      </w:pPr>
    </w:p>
    <w:p w:rsidR="00210EC0" w:rsidRDefault="00210EC0">
      <w:pPr>
        <w:spacing w:line="480" w:lineRule="auto"/>
        <w:ind w:firstLine="720"/>
        <w:contextualSpacing w:val="0"/>
        <w:rPr>
          <w:rFonts w:ascii="Times New Roman" w:eastAsia="Verdana" w:hAnsi="Times New Roman" w:cs="Times New Roman"/>
          <w:color w:val="333333"/>
          <w:sz w:val="24"/>
          <w:szCs w:val="24"/>
          <w:highlight w:val="white"/>
        </w:rPr>
      </w:pPr>
    </w:p>
    <w:p w:rsidR="00210EC0" w:rsidRPr="00210EC0" w:rsidRDefault="00210EC0">
      <w:pPr>
        <w:spacing w:line="480" w:lineRule="auto"/>
        <w:ind w:firstLine="720"/>
        <w:contextualSpacing w:val="0"/>
        <w:rPr>
          <w:rFonts w:ascii="Times New Roman" w:eastAsia="Verdana" w:hAnsi="Times New Roman" w:cs="Times New Roman"/>
          <w:color w:val="333333"/>
          <w:sz w:val="24"/>
          <w:szCs w:val="24"/>
          <w:highlight w:val="white"/>
        </w:rPr>
      </w:pPr>
    </w:p>
    <w:p w:rsidR="00D00605" w:rsidRPr="00210EC0" w:rsidRDefault="00D00605">
      <w:pPr>
        <w:spacing w:line="480" w:lineRule="auto"/>
        <w:contextualSpacing w:val="0"/>
        <w:rPr>
          <w:rFonts w:ascii="Times New Roman" w:eastAsia="Verdana" w:hAnsi="Times New Roman" w:cs="Times New Roman"/>
          <w:color w:val="333333"/>
          <w:sz w:val="24"/>
          <w:szCs w:val="24"/>
          <w:highlight w:val="white"/>
        </w:rPr>
      </w:pPr>
    </w:p>
    <w:p w:rsidR="00D00605" w:rsidRPr="00210EC0" w:rsidRDefault="00D00605">
      <w:pPr>
        <w:spacing w:line="480" w:lineRule="auto"/>
        <w:contextualSpacing w:val="0"/>
        <w:rPr>
          <w:rFonts w:ascii="Times New Roman" w:eastAsia="Verdana" w:hAnsi="Times New Roman" w:cs="Times New Roman"/>
          <w:color w:val="333333"/>
          <w:sz w:val="24"/>
          <w:szCs w:val="24"/>
          <w:highlight w:val="white"/>
        </w:rPr>
      </w:pPr>
    </w:p>
    <w:p w:rsidR="00D00605" w:rsidRPr="00210EC0" w:rsidRDefault="00A266AA" w:rsidP="00210EC0">
      <w:pPr>
        <w:spacing w:line="480" w:lineRule="auto"/>
        <w:contextualSpacing w:val="0"/>
        <w:jc w:val="center"/>
        <w:rPr>
          <w:rFonts w:ascii="Times New Roman" w:eastAsia="Verdana" w:hAnsi="Times New Roman" w:cs="Times New Roman"/>
          <w:color w:val="333333"/>
          <w:sz w:val="24"/>
          <w:szCs w:val="24"/>
          <w:highlight w:val="white"/>
        </w:rPr>
      </w:pPr>
      <w:r w:rsidRPr="00210EC0">
        <w:rPr>
          <w:rFonts w:ascii="Times New Roman" w:eastAsia="Verdana" w:hAnsi="Times New Roman" w:cs="Times New Roman"/>
          <w:color w:val="333333"/>
          <w:sz w:val="24"/>
          <w:szCs w:val="24"/>
          <w:highlight w:val="white"/>
        </w:rPr>
        <w:t>Works Cited</w:t>
      </w:r>
    </w:p>
    <w:p w:rsidR="00D00605" w:rsidRPr="00210EC0" w:rsidRDefault="00A266AA">
      <w:pPr>
        <w:spacing w:line="480" w:lineRule="auto"/>
        <w:contextualSpacing w:val="0"/>
        <w:rPr>
          <w:rFonts w:ascii="Times New Roman" w:eastAsia="Verdana" w:hAnsi="Times New Roman" w:cs="Times New Roman"/>
          <w:color w:val="333333"/>
          <w:sz w:val="24"/>
          <w:szCs w:val="24"/>
          <w:highlight w:val="white"/>
        </w:rPr>
      </w:pPr>
      <w:proofErr w:type="spellStart"/>
      <w:r w:rsidRPr="00210EC0">
        <w:rPr>
          <w:rFonts w:ascii="Times New Roman" w:eastAsia="Verdana" w:hAnsi="Times New Roman" w:cs="Times New Roman"/>
          <w:color w:val="222222"/>
          <w:sz w:val="24"/>
          <w:szCs w:val="24"/>
          <w:highlight w:val="white"/>
        </w:rPr>
        <w:t>Ruspoli</w:t>
      </w:r>
      <w:proofErr w:type="spellEnd"/>
      <w:r w:rsidRPr="00210EC0">
        <w:rPr>
          <w:rFonts w:ascii="Times New Roman" w:eastAsia="Verdana" w:hAnsi="Times New Roman" w:cs="Times New Roman"/>
          <w:color w:val="222222"/>
          <w:sz w:val="24"/>
          <w:szCs w:val="24"/>
          <w:highlight w:val="white"/>
        </w:rPr>
        <w:t xml:space="preserve">, Tao. "Being in the World." </w:t>
      </w:r>
      <w:r w:rsidRPr="00210EC0">
        <w:rPr>
          <w:rFonts w:ascii="Times New Roman" w:eastAsia="Verdana" w:hAnsi="Times New Roman" w:cs="Times New Roman"/>
          <w:color w:val="222222"/>
          <w:sz w:val="24"/>
          <w:szCs w:val="24"/>
          <w:highlight w:val="white"/>
        </w:rPr>
        <w:t>Directed by</w:t>
      </w:r>
      <w:r w:rsidRPr="00210EC0">
        <w:rPr>
          <w:rFonts w:ascii="Times New Roman" w:eastAsia="Verdana" w:hAnsi="Times New Roman" w:cs="Times New Roman"/>
          <w:i/>
          <w:color w:val="222222"/>
          <w:sz w:val="24"/>
          <w:szCs w:val="24"/>
          <w:highlight w:val="white"/>
        </w:rPr>
        <w:t xml:space="preserve"> </w:t>
      </w:r>
      <w:r w:rsidRPr="00210EC0">
        <w:rPr>
          <w:rFonts w:ascii="Times New Roman" w:eastAsia="Verdana" w:hAnsi="Times New Roman" w:cs="Times New Roman"/>
          <w:color w:val="222222"/>
          <w:sz w:val="24"/>
          <w:szCs w:val="24"/>
          <w:highlight w:val="white"/>
        </w:rPr>
        <w:t xml:space="preserve">Tao </w:t>
      </w:r>
      <w:proofErr w:type="spellStart"/>
      <w:r w:rsidRPr="00210EC0">
        <w:rPr>
          <w:rFonts w:ascii="Times New Roman" w:eastAsia="Verdana" w:hAnsi="Times New Roman" w:cs="Times New Roman"/>
          <w:color w:val="222222"/>
          <w:sz w:val="24"/>
          <w:szCs w:val="24"/>
          <w:highlight w:val="white"/>
        </w:rPr>
        <w:t>Ruspoli</w:t>
      </w:r>
      <w:proofErr w:type="spellEnd"/>
      <w:r w:rsidRPr="00210EC0">
        <w:rPr>
          <w:rFonts w:ascii="Times New Roman" w:eastAsia="Verdana" w:hAnsi="Times New Roman" w:cs="Times New Roman"/>
          <w:color w:val="222222"/>
          <w:sz w:val="24"/>
          <w:szCs w:val="24"/>
          <w:highlight w:val="white"/>
        </w:rPr>
        <w:t xml:space="preserve">, </w:t>
      </w:r>
      <w:r w:rsidRPr="00210EC0">
        <w:rPr>
          <w:rFonts w:ascii="Times New Roman" w:eastAsia="Verdana" w:hAnsi="Times New Roman" w:cs="Times New Roman"/>
          <w:color w:val="222222"/>
          <w:sz w:val="24"/>
          <w:szCs w:val="24"/>
          <w:highlight w:val="white"/>
        </w:rPr>
        <w:t>2010.</w:t>
      </w:r>
    </w:p>
    <w:p w:rsidR="00D00605" w:rsidRPr="00210EC0" w:rsidRDefault="00A266AA">
      <w:pPr>
        <w:spacing w:line="480" w:lineRule="auto"/>
        <w:ind w:left="720" w:hanging="720"/>
        <w:contextualSpacing w:val="0"/>
        <w:rPr>
          <w:rFonts w:ascii="Times New Roman" w:eastAsia="Verdana" w:hAnsi="Times New Roman" w:cs="Times New Roman"/>
          <w:color w:val="222222"/>
          <w:sz w:val="24"/>
          <w:szCs w:val="24"/>
          <w:highlight w:val="white"/>
        </w:rPr>
      </w:pPr>
      <w:proofErr w:type="spellStart"/>
      <w:r w:rsidRPr="00210EC0">
        <w:rPr>
          <w:rFonts w:ascii="Times New Roman" w:eastAsia="Verdana" w:hAnsi="Times New Roman" w:cs="Times New Roman"/>
          <w:color w:val="222222"/>
          <w:sz w:val="24"/>
          <w:szCs w:val="24"/>
          <w:highlight w:val="white"/>
        </w:rPr>
        <w:t>Vilhauer</w:t>
      </w:r>
      <w:proofErr w:type="spellEnd"/>
      <w:r w:rsidRPr="00210EC0">
        <w:rPr>
          <w:rFonts w:ascii="Times New Roman" w:eastAsia="Verdana" w:hAnsi="Times New Roman" w:cs="Times New Roman"/>
          <w:color w:val="222222"/>
          <w:sz w:val="24"/>
          <w:szCs w:val="24"/>
          <w:highlight w:val="white"/>
        </w:rPr>
        <w:t>, Monica. "Gadamer and the game o</w:t>
      </w:r>
      <w:r w:rsidRPr="00210EC0">
        <w:rPr>
          <w:rFonts w:ascii="Times New Roman" w:eastAsia="Verdana" w:hAnsi="Times New Roman" w:cs="Times New Roman"/>
          <w:color w:val="222222"/>
          <w:sz w:val="24"/>
          <w:szCs w:val="24"/>
          <w:highlight w:val="white"/>
        </w:rPr>
        <w:t xml:space="preserve">f understanding: Dialogue-play and opening to the other." </w:t>
      </w:r>
      <w:r w:rsidR="00210EC0">
        <w:rPr>
          <w:rFonts w:ascii="Times New Roman" w:eastAsia="Verdana" w:hAnsi="Times New Roman" w:cs="Times New Roman"/>
          <w:i/>
          <w:color w:val="222222"/>
          <w:sz w:val="24"/>
          <w:szCs w:val="24"/>
          <w:highlight w:val="white"/>
        </w:rPr>
        <w:t>The Philosophy of P</w:t>
      </w:r>
      <w:r w:rsidRPr="00210EC0">
        <w:rPr>
          <w:rFonts w:ascii="Times New Roman" w:eastAsia="Verdana" w:hAnsi="Times New Roman" w:cs="Times New Roman"/>
          <w:i/>
          <w:color w:val="222222"/>
          <w:sz w:val="24"/>
          <w:szCs w:val="24"/>
          <w:highlight w:val="white"/>
        </w:rPr>
        <w:t>lay</w:t>
      </w:r>
      <w:r w:rsidRPr="00210EC0">
        <w:rPr>
          <w:rFonts w:ascii="Times New Roman" w:eastAsia="Verdana" w:hAnsi="Times New Roman" w:cs="Times New Roman"/>
          <w:color w:val="222222"/>
          <w:sz w:val="24"/>
          <w:szCs w:val="24"/>
          <w:highlight w:val="white"/>
        </w:rPr>
        <w:t>. Routledge, 2013. 89-100.</w:t>
      </w:r>
    </w:p>
    <w:p w:rsidR="00D00605" w:rsidRPr="00210EC0" w:rsidRDefault="00D00605">
      <w:pPr>
        <w:spacing w:line="480" w:lineRule="auto"/>
        <w:ind w:left="720" w:hanging="720"/>
        <w:contextualSpacing w:val="0"/>
        <w:rPr>
          <w:rFonts w:ascii="Times New Roman" w:eastAsia="Verdana" w:hAnsi="Times New Roman" w:cs="Times New Roman"/>
          <w:color w:val="222222"/>
          <w:sz w:val="24"/>
          <w:szCs w:val="24"/>
          <w:highlight w:val="white"/>
        </w:rPr>
      </w:pPr>
      <w:bookmarkStart w:id="0" w:name="_GoBack"/>
      <w:bookmarkEnd w:id="0"/>
    </w:p>
    <w:sectPr w:rsidR="00D00605" w:rsidRPr="00210EC0">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6AA" w:rsidRDefault="00A266AA" w:rsidP="00210EC0">
      <w:pPr>
        <w:spacing w:line="240" w:lineRule="auto"/>
      </w:pPr>
      <w:r>
        <w:separator/>
      </w:r>
    </w:p>
  </w:endnote>
  <w:endnote w:type="continuationSeparator" w:id="0">
    <w:p w:rsidR="00A266AA" w:rsidRDefault="00A266AA" w:rsidP="00210E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6AA" w:rsidRDefault="00A266AA" w:rsidP="00210EC0">
      <w:pPr>
        <w:spacing w:line="240" w:lineRule="auto"/>
      </w:pPr>
      <w:r>
        <w:separator/>
      </w:r>
    </w:p>
  </w:footnote>
  <w:footnote w:type="continuationSeparator" w:id="0">
    <w:p w:rsidR="00A266AA" w:rsidRDefault="00A266AA" w:rsidP="00210E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306378"/>
      <w:docPartObj>
        <w:docPartGallery w:val="Page Numbers (Top of Page)"/>
        <w:docPartUnique/>
      </w:docPartObj>
    </w:sdtPr>
    <w:sdtEndPr>
      <w:rPr>
        <w:noProof/>
      </w:rPr>
    </w:sdtEndPr>
    <w:sdtContent>
      <w:p w:rsidR="00210EC0" w:rsidRDefault="00210EC0" w:rsidP="00210EC0">
        <w:pPr>
          <w:pStyle w:val="Header"/>
          <w:jc w:val="right"/>
        </w:pPr>
        <w:r>
          <w:t xml:space="preserve">Amato </w:t>
        </w:r>
        <w:r>
          <w:fldChar w:fldCharType="begin"/>
        </w:r>
        <w:r>
          <w:instrText xml:space="preserve"> PAGE   \* MERGEFORMAT </w:instrText>
        </w:r>
        <w:r>
          <w:fldChar w:fldCharType="separate"/>
        </w:r>
        <w:r>
          <w:rPr>
            <w:noProof/>
          </w:rPr>
          <w:t>2</w:t>
        </w:r>
        <w:r>
          <w:rPr>
            <w:noProof/>
          </w:rPr>
          <w:fldChar w:fldCharType="end"/>
        </w:r>
      </w:p>
    </w:sdtContent>
  </w:sdt>
  <w:p w:rsidR="00210EC0" w:rsidRDefault="00210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00605"/>
    <w:rsid w:val="00210EC0"/>
    <w:rsid w:val="00A266AA"/>
    <w:rsid w:val="00D006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6643"/>
  <w15:docId w15:val="{FFDE428C-9826-48FC-B114-47A11FAD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10EC0"/>
    <w:pPr>
      <w:tabs>
        <w:tab w:val="center" w:pos="4680"/>
        <w:tab w:val="right" w:pos="9360"/>
      </w:tabs>
      <w:spacing w:line="240" w:lineRule="auto"/>
    </w:pPr>
  </w:style>
  <w:style w:type="character" w:customStyle="1" w:styleId="HeaderChar">
    <w:name w:val="Header Char"/>
    <w:basedOn w:val="DefaultParagraphFont"/>
    <w:link w:val="Header"/>
    <w:uiPriority w:val="99"/>
    <w:rsid w:val="00210EC0"/>
  </w:style>
  <w:style w:type="paragraph" w:styleId="Footer">
    <w:name w:val="footer"/>
    <w:basedOn w:val="Normal"/>
    <w:link w:val="FooterChar"/>
    <w:uiPriority w:val="99"/>
    <w:unhideWhenUsed/>
    <w:rsid w:val="00210EC0"/>
    <w:pPr>
      <w:tabs>
        <w:tab w:val="center" w:pos="4680"/>
        <w:tab w:val="right" w:pos="9360"/>
      </w:tabs>
      <w:spacing w:line="240" w:lineRule="auto"/>
    </w:pPr>
  </w:style>
  <w:style w:type="character" w:customStyle="1" w:styleId="FooterChar">
    <w:name w:val="Footer Char"/>
    <w:basedOn w:val="DefaultParagraphFont"/>
    <w:link w:val="Footer"/>
    <w:uiPriority w:val="99"/>
    <w:rsid w:val="0021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cp:lastModifiedBy>
  <cp:revision>2</cp:revision>
  <dcterms:created xsi:type="dcterms:W3CDTF">2018-10-16T06:04:00Z</dcterms:created>
  <dcterms:modified xsi:type="dcterms:W3CDTF">2018-10-16T06:07:00Z</dcterms:modified>
</cp:coreProperties>
</file>